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2011/96 vom 21. Februar 2013</w:t>
      </w:r>
    </w:p>
    <w:p>
      <w:r>
        <w:t>Sg Versicherungsgericht, 2013-02-21, DE</w:t>
      </w:r>
    </w:p>
    <w:p>
      <w:r>
        <w:rPr>
          <w:b/>
        </w:rPr>
        <w:t xml:space="preserve">Quelle: </w:t>
      </w:r>
      <w:r>
        <w:t>https://mcp.opencaselaw.ch/entscheid/sg_publikationen_IV 2011_96</w:t>
      </w:r>
    </w:p>
    <w:p>
      <w:r>
        <w:t>FR: SG_VERSICHERUNGSGERICHT IV 2011/96 du 21 février 2013</w:t>
      </w:r>
    </w:p>
    <w:p>
      <w:r>
        <w:t>IT: SG_VERSICHERUNGSGERICHT IV 2011/96 del 21 febbraio 2013</w:t>
      </w:r>
    </w:p>
    <w:p>
      <w:pPr>
        <w:pStyle w:val="Heading2"/>
      </w:pPr>
      <w:r>
        <w:t>Regeste</w:t>
      </w:r>
    </w:p>
    <w:p>
      <w:r>
        <w:t>Art. 28 IVG. Rentenanspruch. Rückweisung zur psychiatrischen Begutachtung und erneuter interdisziplinärer Würdigung (Entscheid des Versicherungsgerichts des Kantons St.Gallen vom 21. Februar 2013, IV 2011/96).</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ständiger Rechtsprechung begründen Alkohol- oder Drogensucht für sich allein keine Invalidität, sondern nur in Verbindung mit einem die Erwerbsfähigkeit beeinträchtigenden geistigen, körperlichen oder psychischen Gesundheitsschaden mit Krankheitswert, der zur Sucht geführt hat oder als deren Folge eingetreten ist (vgl. etwa Urteil des Bundesgerichts I 313/06 vom 6. Februar 2007, E. 2.3 mit Hinweisen).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Zunächst ist im Hinblick auf den frühest möglichen Beginn eines allfälligen Rentenanspruchs (Art. 29 Abs. 1 IVG) der umstrittene Zeitpunkt der IV-Anmeldung zu bestimmen. Der Beschwerdeführer bringt vor, die Anmeldung sei am 13. Mai 2008 erfolgt, die Anmeldebestätigung hingegen erst am 18. Mai 2009 (act. G 1, S. 4). Zwar lässt der Schriftzug der Jahresangabe durch den Beschwerdeführer einen gewissen Interpretationsspielraum zu (2008 oder 2009?). Dem Beschwerdeführer ist allerdings entgegenzuhalten, dass die IV-Anmeldung mehrere Angaben enthält, die sich auf einen Zeitpunkt nach dem 13. Mai 2008 beziehen (vgl. etwa Dauer Arbeitslosigkeit ab 1. Juni 2008 bis heute, act. G 4.1-5; Behandlung bei Dr. C.____ vom 23. April 2009 bis auf weiteres, act. G 4.1-6). Es ist daher ohne weiteres - mit der Eingangsbestätigung durch die Beschwerdegegnerin - davon auszugehen, dass die IV-Anmeldung am 13. Mai 2009 erfolgt ist.</w:t>
      </w:r>
    </w:p>
    <w:p>
      <w:r>
        <w:rPr>
          <w:b/>
        </w:rPr>
        <w:t>E. 3</w:t>
      </w:r>
    </w:p>
    <w:p>
      <w:r>
        <w:t>Zu prüfen bleibt damit der Rentenanspruch des Beschwerdeführers. Die Beschwerdegegnerin stützte sich bei der rentenabweisenden Verfügung vom 2. Februar 2011 auf das Triagegespräch mit dem RAD vom 17. August 2010 (act. G 4.57) sowie die RAD-Stellungnahme vom 26. Januar 2011 (act. G 4.69). 3.1    In diesem Zusammenhang ist festzustellen, dass sowohl die Beschwerdegegnerin ("In der Tat lässt das bemängelte Gutachten zu wünschen übrig.", act. G 4, S. 3, Ziff. 2; zur Kritik der unzureichenden Suchtabklärung siehe RAD-Stellungnahme vom 26. Januar 2011, act. G 4.69; vgl. auch act. G 4.57 mit Hinweis u.a. auf die Rentenbegehrlichkeit und fehlende Motivation des Beschwerdeführers) als auch der Beschwerdeführer (fehlende gesundheitliche Verbesserung, Widersprüche zur medizinischen Voraktenlage, instabiler Gesundheitszustand, act. G 1, S. 2 f.) die gutachterliche Beurteilung der Arbeitsfähigkeit für nicht beweiskräftig halten. Dabei bezieht sich die Kritik einzig auf das psychiatrische Teilgutachten. 3.1.1           Der Sichtweise der Parteien bezüglich der fehlenden Aussagekraft des psychiatrischen Teilgutachtens ist zu folgen. Gegen den psychiatrischen Teil des Gutachtens spricht die lediglich oberflächliche Abklärung der Suchtproblematik. Allein aufgrund der im Zusammenhang mit der allfälligen Benzodiazepin- und Alkoholsucht beschriebenen "mangelnden Krankheitseinsicht, des Bagatellisierungs- und Verleugnungsverhaltens" (act. G 4.44-37) hätte sich eine vertiefte Untersuchung aufgedrängt, zumal die Beschwerdegegnerin durch die suchtspezifische Fragestellung gerade auf die Bedeutung dieses Aspekts aufmerksam machte. Zudem mutet es als widersprüchlich an, wenn die nach der gutachterlichen Diagnosestellung seit etwa 2006 bestehende rezidivierende depressive Störung Ursache für das seit etwa 2004 bestehende Abhängigkeitssyndrom mit psychischen Störungen und Verhaltensstörungen sein soll (act. G 4.44-43 f. Ziffer 8.1 und 9.7). Das psychiatrische Gutachten vermag somit keine verlässliche Grundlage für die Arbeitsfähigkeitsbeurteilung zu bilden, weshalb offen gelassen werden kann, ob die übrige Kritik zutrifft (etwa Widerspruch zur medizinischen Voraktenlage, act. G 1, S. 2 f.). 3.1.2           Die vom somatischen Gutachter vorgenommene Arbeitsfähigkeitsschätzung wurde vom Beschwerdeführer nicht kritisiert (vgl. act. G 1). Auch die Beschwerdegegnerin hält diese Beurteilung für beweiskräftig (act. G 4). Es ergeben sich auch keine Hinweise, die den Beweiswert des somatischen Teilgutachtens erschüttern. 3.2    Die Einschätzungen des RAD vom 17. August 2010 (act. G 4.57) und vom 26. Januar 2011 (act. G 4.69) vermögen das Fehlen einer beweiskräftigen psychiatrischen Arbeitsfähigkeitsbeurteilung nicht zu kompensieren. Sie beruhen nicht auf einer eigenständigen Untersuchung. Ferner stützt sich auch der RAD nicht auf Ergebnisse eines Benzoscreenings oder einer EGT/CDT, deren Fehlen er dem psychiatrischen Gutachter vorwirft. Des Weiteren scheint bei der RAD-Stellungnahme und den darin gemachten Vorwürfen der Selbstlimitation und Rentenbegehrlichkeit nicht berücksichtigt worden zu sein, dass die vom Beschwerdeführer geklagten Schmerzen (die Nackenschmerzen und die "abnormen Untersuchungsbefunde" der Halswirbelsäule sowie die lumbalen Schmerzen) objektiviert werden konnten (act. G 4.44-26). Eine schlüssige Auseinandersetzung mit den zahlreichen Einschätzungen der behandelnden psychiatrischen Fachpersonen ist in den RAD-Beurteilungen nicht enthalten. Schliesslich begründet der RAD-Arzt auch nicht nachvollziehbar, weshalb er zunächst die gutachterliche Beurteilung - trotz der von ihm bereits damals aufgezeigten Mängel - für voll beweiskräftig ("Beide GA […] genügen in vollem Umfang den versicherungsmedizinischen Anforderungen […]", Stellungnahme vom 16. Juli 2010, act. G 4.49), später aber für nicht nachvollziehbar hielt (Stellungnahme vom 26. Januar 2011, act. G 4.69). Vor diesem Hintergrund bestehen erhebliche Zweifel an der Arbeitsfähigkeitsbeurteilung durch den RAD. Die Sache ist daher - wie vom Beschwerdeführer beantragt (act. G 1) - an die Beschwerdegegnerin zurückzuweisen, damit sie eine erneute psychiatrische Begutachtung in Auftrag gebe. Die zu beauftragende psychiatrische Fachperson wird nach Vornahme der Begutachtung zusammen mit dem somatischen Gutachter des MGSG eine interdisziplinäre Beurteilung der Restarbeitsfähigkeit vorzunehmen haben. Schliesslich hat die Beschwerdegegnerin erneut über den Rentenanspruch des Beschwerdeführers zu befinden. Je nach Ergebnis des Gutachtens wird die Beschwerdegegnerin zu prüfen haben, ob zur Überwindung einer die Arbeitsfähigkeit beeinträchtigenden Suchtsymptomatik Massnahmen der Schadenminderung im Rahmen von Art. 21 ATSG anzuordnen sind.</w:t>
      </w:r>
    </w:p>
    <w:p>
      <w:r>
        <w:rPr>
          <w:b/>
        </w:rPr>
        <w:t>E. 4</w:t>
      </w:r>
    </w:p>
    <w:p>
      <w:r>
        <w:t>Da sich die Angelegenheit als noch nicht spruchreif erweist, ist die umstrittene Frage nach der korrekten Bestimmung der Vergleichseinkommen offen zu lassen.</w:t>
      </w:r>
    </w:p>
    <w:p>
      <w:r>
        <w:rPr>
          <w:b/>
        </w:rPr>
        <w:t>E. 5</w:t>
      </w:r>
    </w:p>
    <w:p>
      <w:r>
        <w:t>5.1    In teilweiser Gutheissung der Beschwerde ist die angefochtene Verfügung vom 2. Februar 2011 aufzuheben. Die Sache ist zur ergänzenden Abklärung und zu neuer Verfügung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des Beschwerdeführers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angefochtene Verfügung vom 2. Februar 2011 aufgehoben. Die Sache wird zur ergänzenden Abklärung und zu neuer Verfügung im Sinn der Erwägungen an die Beschwerdegegnerin zurück­gewiesen.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